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光明渔业2023年土工布采购方案（4月）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一、采购项目情况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1、项目名称：上海市海丰水产养殖有限公司2023年土工布采购项目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2、采购方式：通过大宗物资采购平台进行招投标采购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3、采购内容及质量要求：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205"/>
        <w:gridCol w:w="4380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品类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数量（㎡）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聚酯长丝土工布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宋体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规格：宽幅5.2m，50m/卷；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型号：4</w:t>
            </w:r>
            <w:r>
              <w:rPr>
                <w:rFonts w:ascii="宋体" w:hAnsi="宋体" w:eastAsia="宋体"/>
                <w:sz w:val="28"/>
                <w:szCs w:val="28"/>
              </w:rPr>
              <w:t>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克/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㎡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93600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（1）产品质量要求除必须符合国家相关质量标注外，还需符合上述要求。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（2）实际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采购数量以各养殖队的实际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发生数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4、技术要求：</w:t>
      </w:r>
    </w:p>
    <w:tbl>
      <w:tblPr>
        <w:tblStyle w:val="3"/>
        <w:tblW w:w="90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1647"/>
        <w:gridCol w:w="1874"/>
        <w:gridCol w:w="2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项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指标要求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单位面积质量变异系数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Cv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≤5.0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厚度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mm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断裂强度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纵向</w:t>
            </w:r>
          </w:p>
        </w:tc>
        <w:tc>
          <w:tcPr>
            <w:tcW w:w="1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KN/m</w:t>
            </w:r>
          </w:p>
        </w:tc>
        <w:tc>
          <w:tcPr>
            <w:tcW w:w="2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横向</w:t>
            </w:r>
          </w:p>
        </w:tc>
        <w:tc>
          <w:tcPr>
            <w:tcW w:w="1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标准强度对应伸长率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纵向</w:t>
            </w:r>
          </w:p>
        </w:tc>
        <w:tc>
          <w:tcPr>
            <w:tcW w:w="1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2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～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横向</w:t>
            </w:r>
          </w:p>
        </w:tc>
        <w:tc>
          <w:tcPr>
            <w:tcW w:w="1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撕破强力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纵向</w:t>
            </w:r>
          </w:p>
        </w:tc>
        <w:tc>
          <w:tcPr>
            <w:tcW w:w="1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KN</w:t>
            </w:r>
          </w:p>
        </w:tc>
        <w:tc>
          <w:tcPr>
            <w:tcW w:w="22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横向</w:t>
            </w:r>
          </w:p>
        </w:tc>
        <w:tc>
          <w:tcPr>
            <w:tcW w:w="1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CBR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顶破强力</w:t>
            </w: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KN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≥3.9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等效孔径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vertAlign w:val="subscript"/>
              </w:rPr>
              <w:t>90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(O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vertAlign w:val="subscript"/>
              </w:rPr>
              <w:t>95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mm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0.05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～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垂直渗透系数</w:t>
            </w: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cm/s</w:t>
            </w:r>
          </w:p>
        </w:tc>
        <w:tc>
          <w:tcPr>
            <w:tcW w:w="2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K×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perscript"/>
              </w:rPr>
              <w:t>-1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～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perscript"/>
              </w:rPr>
              <w:t>-3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K=1.0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～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二、采购工作小组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负责采购方案的拟定，采购项目的组织与实施。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组长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 王中清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副组长：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刘亚兵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组员：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梅德春、韦娟、宋丽芳、孙昌飞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三、供应商资格要求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1、遵守国家的法律法规，具有独立承担民事责任的能力；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2、具备相关资质，有能力提供所采购的货物和服务；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3、具有良好的商业信誉。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四、报价及评审机制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1、报价方式：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送货到本公司指定塘口开票价格，报价即为当期供货结算价格。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2、投标方式：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供应商在2023年4月7日前在大宗物资采购平台完成供应商账号注册；并在2023年4月10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日前完成报价表等相关资料的提交。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评标方式: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同一家供应商可同时对多个产品进行报价并中标。每个产品报价最低的1家供应商为该产品的中标供应商。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若报价时出现多家供应商报价相同且最低的情况，则在权衡质量、资信、交货及时度、售后服务等因素的基础上进行综合评估，在已合作的供应商中优先选择成交供应商。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付款方式：在每批次货物运送到位，验收合格，在供应商开具发票后，30天内通过转账方式付款。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 xml:space="preserve">                    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11028"/>
    <w:rsid w:val="5E01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2023-04-03T00:56:00Z</dcterms:created>
  <dc:creator>刘亚兵</dc:creator>
  <cp:lastModifiedBy>刘亚兵</cp:lastModifiedBy>
  <dcterms:modified xsi:type="dcterms:W3CDTF">2023-04-03T02:17:58Z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56FA6E1D95174BCE9D2E384AE2267B27</vt:lpwstr>
  </property>
</Properties>
</file>